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gridCol w:w="1380"/>
        <w:tblGridChange w:id="0">
          <w:tblGrid>
            <w:gridCol w:w="9060"/>
            <w:gridCol w:w="1380"/>
          </w:tblGrid>
        </w:tblGridChange>
      </w:tblGrid>
      <w:tr>
        <w:trPr>
          <w:cantSplit w:val="0"/>
          <w:trHeight w:val="1588.8340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widowControl w:val="0"/>
              <w:spacing w:line="240" w:lineRule="auto"/>
              <w:rPr>
                <w:sz w:val="26"/>
                <w:szCs w:val="26"/>
              </w:rPr>
            </w:pPr>
            <w:r w:rsidDel="00000000" w:rsidR="00000000" w:rsidRPr="00000000">
              <w:rPr>
                <w:rFonts w:ascii="Nunito" w:cs="Nunito" w:eastAsia="Nunito" w:hAnsi="Nunito"/>
                <w:b w:val="1"/>
                <w:sz w:val="28"/>
                <w:szCs w:val="28"/>
                <w:rtl w:val="0"/>
              </w:rPr>
              <w:t xml:space="preserve">                          </w:t>
            </w:r>
            <w:r w:rsidDel="00000000" w:rsidR="00000000" w:rsidRPr="00000000">
              <w:rPr>
                <w:rFonts w:ascii="Nunito" w:cs="Nunito" w:eastAsia="Nunito" w:hAnsi="Nunito"/>
                <w:b w:val="1"/>
                <w:sz w:val="32"/>
                <w:szCs w:val="32"/>
                <w:rtl w:val="0"/>
              </w:rPr>
              <w:t xml:space="preserve">MS Summative Assessment Task Sheet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drawing>
                <wp:inline distB="114300" distT="114300" distL="114300" distR="114300">
                  <wp:extent cx="757238" cy="830858"/>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7238" cy="8308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widowControl w:val="0"/>
        <w:spacing w:line="276" w:lineRule="auto"/>
        <w:rPr>
          <w:rFonts w:ascii="Nunito" w:cs="Nunito" w:eastAsia="Nunito" w:hAnsi="Nunito"/>
          <w:b w:val="1"/>
          <w:sz w:val="28"/>
          <w:szCs w:val="28"/>
        </w:rPr>
      </w:pPr>
      <w:bookmarkStart w:colFirst="0" w:colLast="0" w:name="_rsh88rpfa50x" w:id="0"/>
      <w:bookmarkEnd w:id="0"/>
      <w:r w:rsidDel="00000000" w:rsidR="00000000" w:rsidRPr="00000000">
        <w:rPr>
          <w:rtl w:val="0"/>
        </w:rPr>
      </w:r>
    </w:p>
    <w:tbl>
      <w:tblPr>
        <w:tblStyle w:val="Table2"/>
        <w:tblW w:w="1099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5130"/>
        <w:tblGridChange w:id="0">
          <w:tblGrid>
            <w:gridCol w:w="5865"/>
            <w:gridCol w:w="5130"/>
          </w:tblGrid>
        </w:tblGridChange>
      </w:tblGrid>
      <w:tr>
        <w:trPr>
          <w:cantSplit w:val="0"/>
          <w:tblHeader w:val="0"/>
        </w:trPr>
        <w:tc>
          <w:tcPr>
            <w:shd w:fill="39b54a"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Grade: 7</w:t>
            </w:r>
          </w:p>
          <w:p w:rsidR="00000000" w:rsidDel="00000000" w:rsidP="00000000" w:rsidRDefault="00000000" w:rsidRPr="00000000" w14:paraId="0000000A">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Unit Title: To Regulate Or Not To Regulate</w:t>
              <w:br w:type="textWrapping"/>
              <w:t xml:space="preserve">Formative Due date: Feb 21 (AB) Feb 17 (CD)</w:t>
            </w:r>
          </w:p>
          <w:p w:rsidR="00000000" w:rsidDel="00000000" w:rsidP="00000000" w:rsidRDefault="00000000" w:rsidRPr="00000000" w14:paraId="0000000B">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Summative Due date: Feb 28 (AB) Feb 24 (CD)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Summative Assessment Title: </w:t>
            </w:r>
          </w:p>
          <w:p w:rsidR="00000000" w:rsidDel="00000000" w:rsidP="00000000" w:rsidRDefault="00000000" w:rsidRPr="00000000" w14:paraId="0000000D">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To Regulate Or Not To Regulate Socratic Seminar</w:t>
            </w:r>
          </w:p>
          <w:p w:rsidR="00000000" w:rsidDel="00000000" w:rsidP="00000000" w:rsidRDefault="00000000" w:rsidRPr="00000000" w14:paraId="0000000E">
            <w:pPr>
              <w:widowControl w:val="0"/>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0F">
      <w:pPr>
        <w:widowControl w:val="0"/>
        <w:spacing w:line="276" w:lineRule="auto"/>
        <w:rPr>
          <w:rFonts w:ascii="Nunito" w:cs="Nunito" w:eastAsia="Nunito" w:hAnsi="Nunito"/>
          <w:sz w:val="24"/>
          <w:szCs w:val="24"/>
        </w:rPr>
      </w:pPr>
      <w:r w:rsidDel="00000000" w:rsidR="00000000" w:rsidRPr="00000000">
        <w:rPr>
          <w:rtl w:val="0"/>
        </w:rPr>
      </w:r>
    </w:p>
    <w:tbl>
      <w:tblPr>
        <w:tblStyle w:val="Table3"/>
        <w:tblW w:w="11040.0" w:type="dxa"/>
        <w:jc w:val="left"/>
        <w:tblInd w:w="-5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0095"/>
        <w:tblGridChange w:id="0">
          <w:tblGrid>
            <w:gridCol w:w="945"/>
            <w:gridCol w:w="10095"/>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Nunito" w:cs="Nunito" w:eastAsia="Nunito" w:hAnsi="Nunito"/>
                <w:b w:val="1"/>
                <w:color w:val="efefef"/>
                <w:sz w:val="24"/>
                <w:szCs w:val="24"/>
              </w:rPr>
            </w:pPr>
            <w:r w:rsidDel="00000000" w:rsidR="00000000" w:rsidRPr="00000000">
              <w:rPr>
                <w:rFonts w:ascii="Nunito" w:cs="Nunito" w:eastAsia="Nunito" w:hAnsi="Nunito"/>
                <w:b w:val="1"/>
                <w:color w:val="ffffff"/>
                <w:sz w:val="24"/>
                <w:szCs w:val="24"/>
                <w:rtl w:val="0"/>
              </w:rPr>
              <w:t xml:space="preserve">Task Description and Relationship to Statement of Inquiry: </w:t>
            </w:r>
            <w:r w:rsidDel="00000000" w:rsidR="00000000" w:rsidRPr="00000000">
              <w:rPr>
                <w:rFonts w:ascii="Nunito" w:cs="Nunito" w:eastAsia="Nunito" w:hAnsi="Nunito"/>
                <w:b w:val="1"/>
                <w:color w:val="efefef"/>
                <w:sz w:val="24"/>
                <w:szCs w:val="24"/>
                <w:rtl w:val="0"/>
              </w:rPr>
              <w:t xml:space="preserve">                                            </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12">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Goal:</w:t>
            </w:r>
            <w:r w:rsidDel="00000000" w:rsidR="00000000" w:rsidRPr="00000000">
              <w:rPr>
                <w:rFonts w:ascii="Nunito" w:cs="Nunito" w:eastAsia="Nunito" w:hAnsi="Nunito"/>
                <w:highlight w:val="white"/>
                <w:rtl w:val="0"/>
              </w:rPr>
              <w:t xml:space="preserve"> You have been asked whether or not we should regulate various sectors over controversial issues. </w:t>
            </w:r>
          </w:p>
          <w:p w:rsidR="00000000" w:rsidDel="00000000" w:rsidP="00000000" w:rsidRDefault="00000000" w:rsidRPr="00000000" w14:paraId="00000013">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Role: </w:t>
            </w:r>
            <w:r w:rsidDel="00000000" w:rsidR="00000000" w:rsidRPr="00000000">
              <w:rPr>
                <w:rFonts w:ascii="Nunito" w:cs="Nunito" w:eastAsia="Nunito" w:hAnsi="Nunito"/>
                <w:highlight w:val="white"/>
                <w:rtl w:val="0"/>
              </w:rPr>
              <w:t xml:space="preserve">You are a member of the United Nations Development Programme.</w:t>
            </w:r>
          </w:p>
          <w:p w:rsidR="00000000" w:rsidDel="00000000" w:rsidP="00000000" w:rsidRDefault="00000000" w:rsidRPr="00000000" w14:paraId="00000014">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Audience:</w:t>
            </w:r>
            <w:r w:rsidDel="00000000" w:rsidR="00000000" w:rsidRPr="00000000">
              <w:rPr>
                <w:rFonts w:ascii="Nunito" w:cs="Nunito" w:eastAsia="Nunito" w:hAnsi="Nunito"/>
                <w:highlight w:val="white"/>
                <w:rtl w:val="0"/>
              </w:rPr>
              <w:t xml:space="preserve"> G7 students.</w:t>
            </w:r>
          </w:p>
          <w:p w:rsidR="00000000" w:rsidDel="00000000" w:rsidP="00000000" w:rsidRDefault="00000000" w:rsidRPr="00000000" w14:paraId="00000015">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Scenario:</w:t>
            </w:r>
            <w:r w:rsidDel="00000000" w:rsidR="00000000" w:rsidRPr="00000000">
              <w:rPr>
                <w:rFonts w:ascii="Nunito" w:cs="Nunito" w:eastAsia="Nunito" w:hAnsi="Nunito"/>
                <w:highlight w:val="white"/>
                <w:rtl w:val="0"/>
              </w:rPr>
              <w:t xml:space="preserve"> You are to provide advantages and disadvantages to each proposed regulation, discuss your own opinion, and propose your own solutions</w:t>
            </w:r>
          </w:p>
          <w:p w:rsidR="00000000" w:rsidDel="00000000" w:rsidP="00000000" w:rsidRDefault="00000000" w:rsidRPr="00000000" w14:paraId="00000016">
            <w:pPr>
              <w:spacing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Performance:</w:t>
            </w:r>
            <w:r w:rsidDel="00000000" w:rsidR="00000000" w:rsidRPr="00000000">
              <w:rPr>
                <w:rFonts w:ascii="Nunito" w:cs="Nunito" w:eastAsia="Nunito" w:hAnsi="Nunito"/>
                <w:highlight w:val="white"/>
                <w:rtl w:val="0"/>
              </w:rPr>
              <w:t xml:space="preserve"> Socratic Seminar.</w:t>
            </w:r>
          </w:p>
          <w:p w:rsidR="00000000" w:rsidDel="00000000" w:rsidP="00000000" w:rsidRDefault="00000000" w:rsidRPr="00000000" w14:paraId="00000017">
            <w:pPr>
              <w:shd w:fill="ffffff" w:val="clear"/>
              <w:spacing w:after="220" w:before="220" w:line="240" w:lineRule="auto"/>
              <w:rPr>
                <w:rFonts w:ascii="Nunito" w:cs="Nunito" w:eastAsia="Nunito" w:hAnsi="Nunito"/>
                <w:highlight w:val="white"/>
              </w:rPr>
            </w:pPr>
            <w:r w:rsidDel="00000000" w:rsidR="00000000" w:rsidRPr="00000000">
              <w:rPr>
                <w:rFonts w:ascii="Nunito" w:cs="Nunito" w:eastAsia="Nunito" w:hAnsi="Nunito"/>
                <w:b w:val="1"/>
                <w:highlight w:val="white"/>
                <w:rtl w:val="0"/>
              </w:rPr>
              <w:t xml:space="preserve">Relationship to Statement of Inquiry: </w:t>
            </w:r>
            <w:r w:rsidDel="00000000" w:rsidR="00000000" w:rsidRPr="00000000">
              <w:rPr>
                <w:rFonts w:ascii="Nunito" w:cs="Nunito" w:eastAsia="Nunito" w:hAnsi="Nunito"/>
                <w:highlight w:val="white"/>
                <w:rtl w:val="0"/>
              </w:rPr>
              <w:t xml:space="preserve">Students will explore the Statement of Inquiry—"The choice to develop our economy depends on how we regulate markets, commodities, and commerce"—through Socratic Seminars that challenge them to analyze economic regulation across key sectors. By debating issues such as pesticide bans in India, tariffs between the US and China, privatized security in South Africa, and social media restrictions in Australia, students will critically assess how government policies shape economic development and societal well-being. These discussions will enhance their understanding of economic systems (Criteria A) while refining their ability to articulate arguments effectively (Criteria C), fostering deeper engagement with real-world economic challenges.</w:t>
              <w:br w:type="textWrapping"/>
              <w:br w:type="textWrapping"/>
            </w:r>
            <w:r w:rsidDel="00000000" w:rsidR="00000000" w:rsidRPr="00000000">
              <w:rPr>
                <w:rFonts w:ascii="Nunito" w:cs="Nunito" w:eastAsia="Nunito" w:hAnsi="Nunito"/>
                <w:b w:val="1"/>
                <w:highlight w:val="white"/>
                <w:rtl w:val="0"/>
              </w:rPr>
              <w:t xml:space="preserve">Instructions for students: </w:t>
            </w:r>
            <w:r w:rsidDel="00000000" w:rsidR="00000000" w:rsidRPr="00000000">
              <w:rPr>
                <w:rFonts w:ascii="Nunito" w:cs="Nunito" w:eastAsia="Nunito" w:hAnsi="Nunito"/>
                <w:highlight w:val="white"/>
                <w:rtl w:val="0"/>
              </w:rPr>
              <w:t xml:space="preserve">We will support you during each lesson on how to formulate your arguments and how to properly follow a Socratic Seminar Procedure procedure. On the assignment on Toddle, you will see the Responsive Language Bingo Card and a digital copy of the Graphic Organiser which you will use to handwrite your research.</w:t>
            </w:r>
          </w:p>
          <w:p w:rsidR="00000000" w:rsidDel="00000000" w:rsidP="00000000" w:rsidRDefault="00000000" w:rsidRPr="00000000" w14:paraId="00000018">
            <w:pPr>
              <w:shd w:fill="ffffff" w:val="clear"/>
              <w:spacing w:after="220" w:before="220" w:line="240" w:lineRule="auto"/>
              <w:rPr>
                <w:rFonts w:ascii="Nunito" w:cs="Nunito" w:eastAsia="Nunito" w:hAnsi="Nunito"/>
                <w:color w:val="202124"/>
                <w:highlight w:val="white"/>
              </w:rPr>
            </w:pPr>
            <w:r w:rsidDel="00000000" w:rsidR="00000000" w:rsidRPr="00000000">
              <w:rPr>
                <w:rFonts w:ascii="Nunito" w:cs="Nunito" w:eastAsia="Nunito" w:hAnsi="Nunito"/>
                <w:b w:val="1"/>
                <w:color w:val="202124"/>
                <w:highlight w:val="white"/>
                <w:rtl w:val="0"/>
              </w:rPr>
              <w:t xml:space="preserve">For the first Socratic Seminar on Wed Feb 28 (AB) or Mon Feb 24 (CD), you will choose either: </w:t>
              <w:br w:type="textWrapping"/>
            </w:r>
            <w:r w:rsidDel="00000000" w:rsidR="00000000" w:rsidRPr="00000000">
              <w:rPr>
                <w:rFonts w:ascii="Nunito" w:cs="Nunito" w:eastAsia="Nunito" w:hAnsi="Nunito"/>
                <w:color w:val="202124"/>
                <w:highlight w:val="white"/>
                <w:rtl w:val="0"/>
              </w:rPr>
              <w:t xml:space="preserve">Choice 1: Extraction Sector - Should Pesticides be banned in India?</w:t>
              <w:br w:type="textWrapping"/>
              <w:t xml:space="preserve">Choice 2: Manufacturing Sector - Should the US and China place tariffs on each other?</w:t>
            </w:r>
          </w:p>
          <w:p w:rsidR="00000000" w:rsidDel="00000000" w:rsidP="00000000" w:rsidRDefault="00000000" w:rsidRPr="00000000" w14:paraId="00000019">
            <w:pPr>
              <w:shd w:fill="ffffff" w:val="clear"/>
              <w:spacing w:after="220" w:before="220" w:line="240" w:lineRule="auto"/>
              <w:rPr>
                <w:rFonts w:ascii="Nunito" w:cs="Nunito" w:eastAsia="Nunito" w:hAnsi="Nunito"/>
                <w:color w:val="202124"/>
                <w:highlight w:val="white"/>
              </w:rPr>
            </w:pPr>
            <w:r w:rsidDel="00000000" w:rsidR="00000000" w:rsidRPr="00000000">
              <w:rPr>
                <w:rFonts w:ascii="Nunito" w:cs="Nunito" w:eastAsia="Nunito" w:hAnsi="Nunito"/>
                <w:b w:val="1"/>
                <w:color w:val="202124"/>
                <w:highlight w:val="white"/>
                <w:rtl w:val="0"/>
              </w:rPr>
              <w:t xml:space="preserve">For the second Socratic Seminar on Wed Mar 5 (AB) or Fri Feb 28 (CD), you will choose either:</w:t>
              <w:br w:type="textWrapping"/>
            </w:r>
            <w:r w:rsidDel="00000000" w:rsidR="00000000" w:rsidRPr="00000000">
              <w:rPr>
                <w:rFonts w:ascii="Nunito" w:cs="Nunito" w:eastAsia="Nunito" w:hAnsi="Nunito"/>
                <w:color w:val="202124"/>
                <w:highlight w:val="white"/>
                <w:rtl w:val="0"/>
              </w:rPr>
              <w:t xml:space="preserve">Choice 3: Service Sector - Should all Security be privatised in South Africa?</w:t>
              <w:br w:type="textWrapping"/>
              <w:t xml:space="preserve">Choice 4: Information Sector - Should Social Media be banned in Australia?</w:t>
            </w:r>
            <w:r w:rsidDel="00000000" w:rsidR="00000000" w:rsidRPr="00000000">
              <w:rPr>
                <w:rtl w:val="0"/>
              </w:rPr>
            </w:r>
          </w:p>
        </w:tc>
      </w:tr>
    </w:tbl>
    <w:p w:rsidR="00000000" w:rsidDel="00000000" w:rsidP="00000000" w:rsidRDefault="00000000" w:rsidRPr="00000000" w14:paraId="0000001B">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C">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D">
      <w:pPr>
        <w:widowControl w:val="0"/>
        <w:spacing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1E">
      <w:pPr>
        <w:widowControl w:val="0"/>
        <w:spacing w:line="276" w:lineRule="auto"/>
        <w:rPr>
          <w:rFonts w:ascii="Nunito" w:cs="Nunito" w:eastAsia="Nunito" w:hAnsi="Nunito"/>
        </w:rPr>
      </w:pPr>
      <w:r w:rsidDel="00000000" w:rsidR="00000000" w:rsidRPr="00000000">
        <w:rPr>
          <w:rtl w:val="0"/>
        </w:rPr>
      </w:r>
    </w:p>
    <w:tbl>
      <w:tblPr>
        <w:tblStyle w:val="Table4"/>
        <w:tblW w:w="1102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8640"/>
        <w:tblGridChange w:id="0">
          <w:tblGrid>
            <w:gridCol w:w="2385"/>
            <w:gridCol w:w="8640"/>
          </w:tblGrid>
        </w:tblGridChange>
      </w:tblGrid>
      <w:tr>
        <w:trPr>
          <w:cantSplit w:val="0"/>
          <w:trHeight w:val="440" w:hRule="atLeast"/>
          <w:tblHeader w:val="0"/>
        </w:trPr>
        <w:tc>
          <w:tcPr>
            <w:gridSpan w:val="2"/>
            <w:shd w:fill="39b54a"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tl w:val="0"/>
              </w:rPr>
              <w:t xml:space="preserve">Criteria &amp; Strands:</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Nunito" w:cs="Nunito" w:eastAsia="Nunito" w:hAnsi="Nunito"/>
                <w:b w:val="1"/>
                <w:color w:val="ffffff"/>
                <w:sz w:val="24"/>
                <w:szCs w:val="24"/>
              </w:rPr>
            </w:pPr>
            <w:r w:rsidDel="00000000" w:rsidR="00000000" w:rsidRPr="00000000">
              <w:rPr>
                <w:rFonts w:ascii="Nunito" w:cs="Nunito" w:eastAsia="Nunito" w:hAnsi="Nunito"/>
                <w:b w:val="1"/>
                <w:color w:val="ffffff"/>
                <w:sz w:val="24"/>
                <w:szCs w:val="24"/>
              </w:rPr>
              <w:drawing>
                <wp:inline distB="114300" distT="114300" distL="114300" distR="114300">
                  <wp:extent cx="5462588" cy="3492722"/>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62588" cy="3492722"/>
                          </a:xfrm>
                          <a:prstGeom prst="rect"/>
                          <a:ln/>
                        </pic:spPr>
                      </pic:pic>
                    </a:graphicData>
                  </a:graphic>
                </wp:inline>
              </w:drawing>
            </w:r>
            <w:r w:rsidDel="00000000" w:rsidR="00000000" w:rsidRPr="00000000">
              <w:rPr>
                <w:rFonts w:ascii="Nunito" w:cs="Nunito" w:eastAsia="Nunito" w:hAnsi="Nunito"/>
                <w:b w:val="1"/>
                <w:color w:val="ffffff"/>
                <w:sz w:val="24"/>
                <w:szCs w:val="24"/>
              </w:rPr>
              <w:drawing>
                <wp:inline distB="114300" distT="114300" distL="114300" distR="114300">
                  <wp:extent cx="5453063" cy="3509322"/>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53063" cy="350932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jc w:val="left"/>
        <w:rPr/>
      </w:pPr>
      <w:r w:rsidDel="00000000" w:rsidR="00000000" w:rsidRPr="00000000">
        <w:rPr>
          <w:rFonts w:ascii="Nunito" w:cs="Nunito" w:eastAsia="Nunito" w:hAnsi="Nunito"/>
          <w:rtl w:val="0"/>
        </w:rPr>
        <w:br w:type="textWrapping"/>
      </w:r>
      <w:r w:rsidDel="00000000" w:rsidR="00000000" w:rsidRPr="00000000">
        <w:rPr>
          <w:rtl w:val="0"/>
        </w:rPr>
      </w:r>
    </w:p>
    <w:sectPr>
      <w:pgSz w:h="15840" w:w="12240" w:orient="portrait"/>
      <w:pgMar w:bottom="1440" w:top="28.79999999999999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