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r>
    </w:p>
    <w:tbl>
      <w:tblPr>
        <w:tblStyle w:val="Table1"/>
        <w:tblW w:w="1044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60"/>
        <w:gridCol w:w="1380"/>
        <w:tblGridChange w:id="0">
          <w:tblGrid>
            <w:gridCol w:w="9060"/>
            <w:gridCol w:w="1380"/>
          </w:tblGrid>
        </w:tblGridChange>
      </w:tblGrid>
      <w:tr>
        <w:trPr>
          <w:cantSplit w:val="0"/>
          <w:trHeight w:val="1588.8340625" w:hRule="atLeast"/>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06">
            <w:pPr>
              <w:widowControl w:val="0"/>
              <w:spacing w:line="240" w:lineRule="auto"/>
              <w:rPr>
                <w:sz w:val="26"/>
                <w:szCs w:val="26"/>
              </w:rPr>
            </w:pPr>
            <w:r w:rsidDel="00000000" w:rsidR="00000000" w:rsidRPr="00000000">
              <w:rPr>
                <w:rFonts w:ascii="Nunito" w:cs="Nunito" w:eastAsia="Nunito" w:hAnsi="Nunito"/>
                <w:b w:val="1"/>
                <w:sz w:val="28"/>
                <w:szCs w:val="28"/>
                <w:rtl w:val="0"/>
              </w:rPr>
              <w:t xml:space="preserve">                          </w:t>
            </w:r>
            <w:r w:rsidDel="00000000" w:rsidR="00000000" w:rsidRPr="00000000">
              <w:rPr>
                <w:rFonts w:ascii="Nunito" w:cs="Nunito" w:eastAsia="Nunito" w:hAnsi="Nunito"/>
                <w:b w:val="1"/>
                <w:sz w:val="32"/>
                <w:szCs w:val="32"/>
                <w:rtl w:val="0"/>
              </w:rPr>
              <w:t xml:space="preserve">MS Summative Assessment Task Sheet </w:t>
            </w: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7">
            <w:pPr>
              <w:rPr/>
            </w:pPr>
            <w:r w:rsidDel="00000000" w:rsidR="00000000" w:rsidRPr="00000000">
              <w:rPr/>
              <w:drawing>
                <wp:inline distB="114300" distT="114300" distL="114300" distR="114300">
                  <wp:extent cx="757238" cy="830858"/>
                  <wp:effectExtent b="0" l="0" r="0" t="0"/>
                  <wp:docPr id="3" name="image3.png"/>
                  <a:graphic>
                    <a:graphicData uri="http://schemas.openxmlformats.org/drawingml/2006/picture">
                      <pic:pic>
                        <pic:nvPicPr>
                          <pic:cNvPr id="0" name="image3.png"/>
                          <pic:cNvPicPr preferRelativeResize="0"/>
                        </pic:nvPicPr>
                        <pic:blipFill>
                          <a:blip r:embed="rId6"/>
                          <a:srcRect b="0" l="0" r="0" t="0"/>
                          <a:stretch>
                            <a:fillRect/>
                          </a:stretch>
                        </pic:blipFill>
                        <pic:spPr>
                          <a:xfrm>
                            <a:off x="0" y="0"/>
                            <a:ext cx="757238" cy="830858"/>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008">
      <w:pPr>
        <w:widowControl w:val="0"/>
        <w:spacing w:line="276" w:lineRule="auto"/>
        <w:rPr>
          <w:rFonts w:ascii="Nunito" w:cs="Nunito" w:eastAsia="Nunito" w:hAnsi="Nunito"/>
          <w:b w:val="1"/>
          <w:sz w:val="28"/>
          <w:szCs w:val="28"/>
        </w:rPr>
      </w:pPr>
      <w:bookmarkStart w:colFirst="0" w:colLast="0" w:name="_rsh88rpfa50x" w:id="0"/>
      <w:bookmarkEnd w:id="0"/>
      <w:r w:rsidDel="00000000" w:rsidR="00000000" w:rsidRPr="00000000">
        <w:rPr>
          <w:rtl w:val="0"/>
        </w:rPr>
      </w:r>
    </w:p>
    <w:tbl>
      <w:tblPr>
        <w:tblStyle w:val="Table2"/>
        <w:tblW w:w="10995.0" w:type="dxa"/>
        <w:jc w:val="left"/>
        <w:tblInd w:w="-56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865"/>
        <w:gridCol w:w="5130"/>
        <w:tblGridChange w:id="0">
          <w:tblGrid>
            <w:gridCol w:w="5865"/>
            <w:gridCol w:w="5130"/>
          </w:tblGrid>
        </w:tblGridChange>
      </w:tblGrid>
      <w:tr>
        <w:trPr>
          <w:cantSplit w:val="0"/>
          <w:tblHeader w:val="0"/>
        </w:trPr>
        <w:tc>
          <w:tcPr>
            <w:shd w:fill="39b54a" w:val="clear"/>
            <w:tcMar>
              <w:top w:w="100.0" w:type="dxa"/>
              <w:left w:w="100.0" w:type="dxa"/>
              <w:bottom w:w="100.0" w:type="dxa"/>
              <w:right w:w="100.0" w:type="dxa"/>
            </w:tcMar>
          </w:tcPr>
          <w:p w:rsidR="00000000" w:rsidDel="00000000" w:rsidP="00000000" w:rsidRDefault="00000000" w:rsidRPr="00000000" w14:paraId="00000009">
            <w:pPr>
              <w:widowControl w:val="0"/>
              <w:spacing w:line="240" w:lineRule="auto"/>
              <w:rPr>
                <w:rFonts w:ascii="Nunito" w:cs="Nunito" w:eastAsia="Nunito" w:hAnsi="Nunito"/>
                <w:b w:val="1"/>
                <w:color w:val="ffffff"/>
                <w:sz w:val="24"/>
                <w:szCs w:val="24"/>
              </w:rPr>
            </w:pPr>
            <w:r w:rsidDel="00000000" w:rsidR="00000000" w:rsidRPr="00000000">
              <w:rPr>
                <w:rFonts w:ascii="Nunito" w:cs="Nunito" w:eastAsia="Nunito" w:hAnsi="Nunito"/>
                <w:b w:val="1"/>
                <w:color w:val="ffffff"/>
                <w:sz w:val="24"/>
                <w:szCs w:val="24"/>
                <w:rtl w:val="0"/>
              </w:rPr>
              <w:t xml:space="preserve">Grade: 8</w:t>
            </w:r>
          </w:p>
          <w:p w:rsidR="00000000" w:rsidDel="00000000" w:rsidP="00000000" w:rsidRDefault="00000000" w:rsidRPr="00000000" w14:paraId="0000000A">
            <w:pPr>
              <w:widowControl w:val="0"/>
              <w:spacing w:line="240" w:lineRule="auto"/>
              <w:rPr>
                <w:rFonts w:ascii="Nunito" w:cs="Nunito" w:eastAsia="Nunito" w:hAnsi="Nunito"/>
                <w:b w:val="1"/>
                <w:color w:val="ffffff"/>
                <w:sz w:val="24"/>
                <w:szCs w:val="24"/>
              </w:rPr>
            </w:pPr>
            <w:r w:rsidDel="00000000" w:rsidR="00000000" w:rsidRPr="00000000">
              <w:rPr>
                <w:rFonts w:ascii="Nunito" w:cs="Nunito" w:eastAsia="Nunito" w:hAnsi="Nunito"/>
                <w:b w:val="1"/>
                <w:color w:val="ffffff"/>
                <w:sz w:val="24"/>
                <w:szCs w:val="24"/>
                <w:rtl w:val="0"/>
              </w:rPr>
              <w:t xml:space="preserve">Unit Title: Unnatural Disasters </w:t>
              <w:br w:type="textWrapping"/>
              <w:t xml:space="preserve">Formative Due date: Feb 20 (AB) Feb 27 (CD)</w:t>
            </w:r>
          </w:p>
          <w:p w:rsidR="00000000" w:rsidDel="00000000" w:rsidP="00000000" w:rsidRDefault="00000000" w:rsidRPr="00000000" w14:paraId="0000000B">
            <w:pPr>
              <w:widowControl w:val="0"/>
              <w:spacing w:line="240" w:lineRule="auto"/>
              <w:rPr>
                <w:rFonts w:ascii="Nunito" w:cs="Nunito" w:eastAsia="Nunito" w:hAnsi="Nunito"/>
                <w:b w:val="1"/>
                <w:color w:val="ffffff"/>
                <w:sz w:val="24"/>
                <w:szCs w:val="24"/>
              </w:rPr>
            </w:pPr>
            <w:r w:rsidDel="00000000" w:rsidR="00000000" w:rsidRPr="00000000">
              <w:rPr>
                <w:rFonts w:ascii="Nunito" w:cs="Nunito" w:eastAsia="Nunito" w:hAnsi="Nunito"/>
                <w:b w:val="1"/>
                <w:color w:val="ffffff"/>
                <w:sz w:val="24"/>
                <w:szCs w:val="24"/>
                <w:rtl w:val="0"/>
              </w:rPr>
              <w:t xml:space="preserve">Summative Due date: Mar 1 (AB) Mar 7 (CD)</w:t>
            </w: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00C">
            <w:pPr>
              <w:widowControl w:val="0"/>
              <w:spacing w:line="240" w:lineRule="auto"/>
              <w:rPr>
                <w:rFonts w:ascii="Nunito" w:cs="Nunito" w:eastAsia="Nunito" w:hAnsi="Nunito"/>
                <w:b w:val="1"/>
                <w:sz w:val="24"/>
                <w:szCs w:val="24"/>
              </w:rPr>
            </w:pPr>
            <w:r w:rsidDel="00000000" w:rsidR="00000000" w:rsidRPr="00000000">
              <w:rPr>
                <w:rFonts w:ascii="Nunito" w:cs="Nunito" w:eastAsia="Nunito" w:hAnsi="Nunito"/>
                <w:b w:val="1"/>
                <w:sz w:val="24"/>
                <w:szCs w:val="24"/>
                <w:rtl w:val="0"/>
              </w:rPr>
              <w:t xml:space="preserve">Summative Assessment Title: </w:t>
            </w:r>
          </w:p>
          <w:p w:rsidR="00000000" w:rsidDel="00000000" w:rsidP="00000000" w:rsidRDefault="00000000" w:rsidRPr="00000000" w14:paraId="0000000D">
            <w:pPr>
              <w:widowControl w:val="0"/>
              <w:spacing w:line="240" w:lineRule="auto"/>
              <w:rPr>
                <w:rFonts w:ascii="Nunito" w:cs="Nunito" w:eastAsia="Nunito" w:hAnsi="Nunito"/>
                <w:b w:val="1"/>
                <w:sz w:val="24"/>
                <w:szCs w:val="24"/>
              </w:rPr>
            </w:pPr>
            <w:r w:rsidDel="00000000" w:rsidR="00000000" w:rsidRPr="00000000">
              <w:rPr>
                <w:rFonts w:ascii="Nunito" w:cs="Nunito" w:eastAsia="Nunito" w:hAnsi="Nunito"/>
                <w:b w:val="1"/>
                <w:sz w:val="24"/>
                <w:szCs w:val="24"/>
                <w:rtl w:val="0"/>
              </w:rPr>
              <w:t xml:space="preserve">Unnatural Disasters Socratic Seminar</w:t>
            </w:r>
          </w:p>
          <w:p w:rsidR="00000000" w:rsidDel="00000000" w:rsidP="00000000" w:rsidRDefault="00000000" w:rsidRPr="00000000" w14:paraId="0000000E">
            <w:pPr>
              <w:widowControl w:val="0"/>
              <w:spacing w:line="240" w:lineRule="auto"/>
              <w:rPr>
                <w:rFonts w:ascii="Nunito" w:cs="Nunito" w:eastAsia="Nunito" w:hAnsi="Nunito"/>
                <w:sz w:val="24"/>
                <w:szCs w:val="24"/>
              </w:rPr>
            </w:pPr>
            <w:r w:rsidDel="00000000" w:rsidR="00000000" w:rsidRPr="00000000">
              <w:rPr>
                <w:rtl w:val="0"/>
              </w:rPr>
            </w:r>
          </w:p>
        </w:tc>
      </w:tr>
    </w:tbl>
    <w:p w:rsidR="00000000" w:rsidDel="00000000" w:rsidP="00000000" w:rsidRDefault="00000000" w:rsidRPr="00000000" w14:paraId="0000000F">
      <w:pPr>
        <w:widowControl w:val="0"/>
        <w:spacing w:line="276" w:lineRule="auto"/>
        <w:rPr>
          <w:rFonts w:ascii="Nunito" w:cs="Nunito" w:eastAsia="Nunito" w:hAnsi="Nunito"/>
          <w:sz w:val="24"/>
          <w:szCs w:val="24"/>
        </w:rPr>
      </w:pPr>
      <w:r w:rsidDel="00000000" w:rsidR="00000000" w:rsidRPr="00000000">
        <w:rPr>
          <w:rtl w:val="0"/>
        </w:rPr>
      </w:r>
    </w:p>
    <w:tbl>
      <w:tblPr>
        <w:tblStyle w:val="Table3"/>
        <w:tblW w:w="11040.0" w:type="dxa"/>
        <w:jc w:val="left"/>
        <w:tblInd w:w="-55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45"/>
        <w:gridCol w:w="10095"/>
        <w:tblGridChange w:id="0">
          <w:tblGrid>
            <w:gridCol w:w="945"/>
            <w:gridCol w:w="10095"/>
          </w:tblGrid>
        </w:tblGridChange>
      </w:tblGrid>
      <w:tr>
        <w:trPr>
          <w:cantSplit w:val="0"/>
          <w:trHeight w:val="440" w:hRule="atLeast"/>
          <w:tblHeader w:val="0"/>
        </w:trPr>
        <w:tc>
          <w:tcPr>
            <w:gridSpan w:val="2"/>
            <w:shd w:fill="39b54a" w:val="clear"/>
            <w:tcMar>
              <w:top w:w="100.0" w:type="dxa"/>
              <w:left w:w="100.0" w:type="dxa"/>
              <w:bottom w:w="100.0" w:type="dxa"/>
              <w:right w:w="100.0" w:type="dxa"/>
            </w:tcMar>
          </w:tcPr>
          <w:p w:rsidR="00000000" w:rsidDel="00000000" w:rsidP="00000000" w:rsidRDefault="00000000" w:rsidRPr="00000000" w14:paraId="00000010">
            <w:pPr>
              <w:widowControl w:val="0"/>
              <w:spacing w:line="240" w:lineRule="auto"/>
              <w:rPr>
                <w:rFonts w:ascii="Nunito" w:cs="Nunito" w:eastAsia="Nunito" w:hAnsi="Nunito"/>
                <w:b w:val="1"/>
                <w:color w:val="efefef"/>
                <w:sz w:val="24"/>
                <w:szCs w:val="24"/>
              </w:rPr>
            </w:pPr>
            <w:r w:rsidDel="00000000" w:rsidR="00000000" w:rsidRPr="00000000">
              <w:rPr>
                <w:rFonts w:ascii="Nunito" w:cs="Nunito" w:eastAsia="Nunito" w:hAnsi="Nunito"/>
                <w:b w:val="1"/>
                <w:color w:val="ffffff"/>
                <w:sz w:val="24"/>
                <w:szCs w:val="24"/>
                <w:rtl w:val="0"/>
              </w:rPr>
              <w:t xml:space="preserve">Task Description and Relationship to Statement of Inquiry: </w:t>
            </w:r>
            <w:r w:rsidDel="00000000" w:rsidR="00000000" w:rsidRPr="00000000">
              <w:rPr>
                <w:rFonts w:ascii="Nunito" w:cs="Nunito" w:eastAsia="Nunito" w:hAnsi="Nunito"/>
                <w:b w:val="1"/>
                <w:color w:val="efefef"/>
                <w:sz w:val="24"/>
                <w:szCs w:val="24"/>
                <w:rtl w:val="0"/>
              </w:rPr>
              <w:t xml:space="preserve">                                            </w:t>
            </w:r>
          </w:p>
        </w:tc>
      </w:tr>
      <w:tr>
        <w:trPr>
          <w:cantSplit w:val="0"/>
          <w:trHeight w:val="440" w:hRule="atLeast"/>
          <w:tblHeader w:val="0"/>
        </w:trPr>
        <w:tc>
          <w:tcPr>
            <w:gridSpan w:val="2"/>
            <w:tcMar>
              <w:top w:w="100.0" w:type="dxa"/>
              <w:left w:w="100.0" w:type="dxa"/>
              <w:bottom w:w="100.0" w:type="dxa"/>
              <w:right w:w="100.0" w:type="dxa"/>
            </w:tcMar>
          </w:tcPr>
          <w:p w:rsidR="00000000" w:rsidDel="00000000" w:rsidP="00000000" w:rsidRDefault="00000000" w:rsidRPr="00000000" w14:paraId="00000012">
            <w:pPr>
              <w:spacing w:line="240" w:lineRule="auto"/>
              <w:rPr>
                <w:rFonts w:ascii="Nunito" w:cs="Nunito" w:eastAsia="Nunito" w:hAnsi="Nunito"/>
                <w:highlight w:val="white"/>
              </w:rPr>
            </w:pPr>
            <w:r w:rsidDel="00000000" w:rsidR="00000000" w:rsidRPr="00000000">
              <w:rPr>
                <w:rFonts w:ascii="Nunito" w:cs="Nunito" w:eastAsia="Nunito" w:hAnsi="Nunito"/>
                <w:b w:val="1"/>
                <w:highlight w:val="white"/>
                <w:rtl w:val="0"/>
              </w:rPr>
              <w:t xml:space="preserve">Goal:</w:t>
            </w:r>
            <w:r w:rsidDel="00000000" w:rsidR="00000000" w:rsidRPr="00000000">
              <w:rPr>
                <w:rFonts w:ascii="Nunito" w:cs="Nunito" w:eastAsia="Nunito" w:hAnsi="Nunito"/>
                <w:highlight w:val="white"/>
                <w:rtl w:val="0"/>
              </w:rPr>
              <w:t xml:space="preserve"> You have been asked to evaluate the natural and unnatural causes of two disasters. </w:t>
            </w:r>
          </w:p>
          <w:p w:rsidR="00000000" w:rsidDel="00000000" w:rsidP="00000000" w:rsidRDefault="00000000" w:rsidRPr="00000000" w14:paraId="00000013">
            <w:pPr>
              <w:spacing w:line="240" w:lineRule="auto"/>
              <w:rPr>
                <w:rFonts w:ascii="Nunito" w:cs="Nunito" w:eastAsia="Nunito" w:hAnsi="Nunito"/>
                <w:highlight w:val="white"/>
              </w:rPr>
            </w:pPr>
            <w:r w:rsidDel="00000000" w:rsidR="00000000" w:rsidRPr="00000000">
              <w:rPr>
                <w:rFonts w:ascii="Nunito" w:cs="Nunito" w:eastAsia="Nunito" w:hAnsi="Nunito"/>
                <w:b w:val="1"/>
                <w:highlight w:val="white"/>
                <w:rtl w:val="0"/>
              </w:rPr>
              <w:t xml:space="preserve">Role: </w:t>
            </w:r>
            <w:r w:rsidDel="00000000" w:rsidR="00000000" w:rsidRPr="00000000">
              <w:rPr>
                <w:rFonts w:ascii="Nunito" w:cs="Nunito" w:eastAsia="Nunito" w:hAnsi="Nunito"/>
                <w:highlight w:val="white"/>
                <w:rtl w:val="0"/>
              </w:rPr>
              <w:t xml:space="preserve">You are a member of the United Nations Development Programme.</w:t>
            </w:r>
          </w:p>
          <w:p w:rsidR="00000000" w:rsidDel="00000000" w:rsidP="00000000" w:rsidRDefault="00000000" w:rsidRPr="00000000" w14:paraId="00000014">
            <w:pPr>
              <w:spacing w:line="240" w:lineRule="auto"/>
              <w:rPr>
                <w:rFonts w:ascii="Nunito" w:cs="Nunito" w:eastAsia="Nunito" w:hAnsi="Nunito"/>
                <w:highlight w:val="white"/>
              </w:rPr>
            </w:pPr>
            <w:r w:rsidDel="00000000" w:rsidR="00000000" w:rsidRPr="00000000">
              <w:rPr>
                <w:rFonts w:ascii="Nunito" w:cs="Nunito" w:eastAsia="Nunito" w:hAnsi="Nunito"/>
                <w:b w:val="1"/>
                <w:highlight w:val="white"/>
                <w:rtl w:val="0"/>
              </w:rPr>
              <w:t xml:space="preserve">Audience:</w:t>
            </w:r>
            <w:r w:rsidDel="00000000" w:rsidR="00000000" w:rsidRPr="00000000">
              <w:rPr>
                <w:rFonts w:ascii="Nunito" w:cs="Nunito" w:eastAsia="Nunito" w:hAnsi="Nunito"/>
                <w:highlight w:val="white"/>
                <w:rtl w:val="0"/>
              </w:rPr>
              <w:t xml:space="preserve"> G8 students.</w:t>
            </w:r>
          </w:p>
          <w:p w:rsidR="00000000" w:rsidDel="00000000" w:rsidP="00000000" w:rsidRDefault="00000000" w:rsidRPr="00000000" w14:paraId="00000015">
            <w:pPr>
              <w:spacing w:line="240" w:lineRule="auto"/>
              <w:rPr>
                <w:rFonts w:ascii="Nunito" w:cs="Nunito" w:eastAsia="Nunito" w:hAnsi="Nunito"/>
                <w:highlight w:val="white"/>
              </w:rPr>
            </w:pPr>
            <w:r w:rsidDel="00000000" w:rsidR="00000000" w:rsidRPr="00000000">
              <w:rPr>
                <w:rFonts w:ascii="Nunito" w:cs="Nunito" w:eastAsia="Nunito" w:hAnsi="Nunito"/>
                <w:b w:val="1"/>
                <w:highlight w:val="white"/>
                <w:rtl w:val="0"/>
              </w:rPr>
              <w:t xml:space="preserve">Scenario:</w:t>
            </w:r>
            <w:r w:rsidDel="00000000" w:rsidR="00000000" w:rsidRPr="00000000">
              <w:rPr>
                <w:rFonts w:ascii="Nunito" w:cs="Nunito" w:eastAsia="Nunito" w:hAnsi="Nunito"/>
                <w:highlight w:val="white"/>
                <w:rtl w:val="0"/>
              </w:rPr>
              <w:t xml:space="preserve"> You must argue, what percentage you believe the disaster is natural or unnatural and why, rank in order of significance the main causes of the disaster, and what potential solutions could work (or could have worked if evaluating a historical case study).</w:t>
            </w:r>
          </w:p>
          <w:p w:rsidR="00000000" w:rsidDel="00000000" w:rsidP="00000000" w:rsidRDefault="00000000" w:rsidRPr="00000000" w14:paraId="00000016">
            <w:pPr>
              <w:spacing w:line="240" w:lineRule="auto"/>
              <w:rPr>
                <w:rFonts w:ascii="Nunito" w:cs="Nunito" w:eastAsia="Nunito" w:hAnsi="Nunito"/>
                <w:highlight w:val="white"/>
              </w:rPr>
            </w:pPr>
            <w:r w:rsidDel="00000000" w:rsidR="00000000" w:rsidRPr="00000000">
              <w:rPr>
                <w:rFonts w:ascii="Nunito" w:cs="Nunito" w:eastAsia="Nunito" w:hAnsi="Nunito"/>
                <w:b w:val="1"/>
                <w:highlight w:val="white"/>
                <w:rtl w:val="0"/>
              </w:rPr>
              <w:t xml:space="preserve">Performance:</w:t>
            </w:r>
            <w:r w:rsidDel="00000000" w:rsidR="00000000" w:rsidRPr="00000000">
              <w:rPr>
                <w:rFonts w:ascii="Nunito" w:cs="Nunito" w:eastAsia="Nunito" w:hAnsi="Nunito"/>
                <w:highlight w:val="white"/>
                <w:rtl w:val="0"/>
              </w:rPr>
              <w:t xml:space="preserve"> Socratic Seminar.</w:t>
            </w:r>
          </w:p>
          <w:p w:rsidR="00000000" w:rsidDel="00000000" w:rsidP="00000000" w:rsidRDefault="00000000" w:rsidRPr="00000000" w14:paraId="00000017">
            <w:pPr>
              <w:shd w:fill="ffffff" w:val="clear"/>
              <w:spacing w:after="220" w:before="220" w:line="240" w:lineRule="auto"/>
              <w:rPr>
                <w:rFonts w:ascii="Nunito" w:cs="Nunito" w:eastAsia="Nunito" w:hAnsi="Nunito"/>
                <w:highlight w:val="white"/>
              </w:rPr>
            </w:pPr>
            <w:r w:rsidDel="00000000" w:rsidR="00000000" w:rsidRPr="00000000">
              <w:rPr>
                <w:rFonts w:ascii="Nunito" w:cs="Nunito" w:eastAsia="Nunito" w:hAnsi="Nunito"/>
                <w:b w:val="1"/>
                <w:highlight w:val="white"/>
                <w:rtl w:val="0"/>
              </w:rPr>
              <w:t xml:space="preserve">Relationship to Statement of Inquiry: </w:t>
            </w:r>
            <w:r w:rsidDel="00000000" w:rsidR="00000000" w:rsidRPr="00000000">
              <w:rPr>
                <w:rFonts w:ascii="Nunito" w:cs="Nunito" w:eastAsia="Nunito" w:hAnsi="Nunito"/>
                <w:highlight w:val="white"/>
                <w:rtl w:val="0"/>
              </w:rPr>
              <w:t xml:space="preserve">The Statement of Inquiry, "Human choices to develop natural landscapes and resources are frequently unsustainable," connects directly to the task by encouraging students to critically analyse how human actions contribute to and exacerbate natural disasters and how the label of 'natural' can be a convenient scapegoat for governments attempting to avoid blame. By ranking the causes in order of significance, they will explore how unsustainable development, resource exploitation, and environmental mismanagement often intersect with natural phenomena to create catastrophic outcomes. Additionally, proposing solutions or preventive measures encourages students to think about how more sustainable practices could mitigate or prevent such disasters in the future, demonstrating the real-world implications of the interplay between human choices and environmental sustainability.</w:t>
              <w:br w:type="textWrapping"/>
              <w:br w:type="textWrapping"/>
            </w:r>
            <w:r w:rsidDel="00000000" w:rsidR="00000000" w:rsidRPr="00000000">
              <w:rPr>
                <w:rFonts w:ascii="Nunito" w:cs="Nunito" w:eastAsia="Nunito" w:hAnsi="Nunito"/>
                <w:b w:val="1"/>
                <w:highlight w:val="white"/>
                <w:rtl w:val="0"/>
              </w:rPr>
              <w:t xml:space="preserve">Instructions for students: </w:t>
            </w:r>
            <w:r w:rsidDel="00000000" w:rsidR="00000000" w:rsidRPr="00000000">
              <w:rPr>
                <w:rFonts w:ascii="Nunito" w:cs="Nunito" w:eastAsia="Nunito" w:hAnsi="Nunito"/>
                <w:highlight w:val="white"/>
                <w:rtl w:val="0"/>
              </w:rPr>
              <w:t xml:space="preserve">We will support you during each lesson on how to formulate your arguments and how to properly follow a Socratic Seminar Procedure procedure. On the assignment on Toddle, you will see the Responsive Language Bingo Card and a digital copy of the Graphic Organiser which you will use to handwrite your research.</w:t>
            </w:r>
          </w:p>
          <w:p w:rsidR="00000000" w:rsidDel="00000000" w:rsidP="00000000" w:rsidRDefault="00000000" w:rsidRPr="00000000" w14:paraId="00000018">
            <w:pPr>
              <w:shd w:fill="ffffff" w:val="clear"/>
              <w:spacing w:after="220" w:before="220" w:line="240" w:lineRule="auto"/>
              <w:rPr>
                <w:rFonts w:ascii="Nunito" w:cs="Nunito" w:eastAsia="Nunito" w:hAnsi="Nunito"/>
                <w:color w:val="202124"/>
                <w:highlight w:val="white"/>
              </w:rPr>
            </w:pPr>
            <w:r w:rsidDel="00000000" w:rsidR="00000000" w:rsidRPr="00000000">
              <w:rPr>
                <w:rFonts w:ascii="Nunito" w:cs="Nunito" w:eastAsia="Nunito" w:hAnsi="Nunito"/>
                <w:b w:val="1"/>
                <w:color w:val="202124"/>
                <w:highlight w:val="white"/>
                <w:rtl w:val="0"/>
              </w:rPr>
              <w:t xml:space="preserve">For the first Socratic Seminar on Wed Feb 26 (AB) or Mon Mar 3 (CD), you will choose either: </w:t>
              <w:br w:type="textWrapping"/>
            </w:r>
            <w:r w:rsidDel="00000000" w:rsidR="00000000" w:rsidRPr="00000000">
              <w:rPr>
                <w:rFonts w:ascii="Nunito" w:cs="Nunito" w:eastAsia="Nunito" w:hAnsi="Nunito"/>
                <w:color w:val="202124"/>
                <w:highlight w:val="white"/>
                <w:rtl w:val="0"/>
              </w:rPr>
              <w:t xml:space="preserve">Option 1A: </w:t>
            </w:r>
            <w:hyperlink r:id="rId7">
              <w:r w:rsidDel="00000000" w:rsidR="00000000" w:rsidRPr="00000000">
                <w:rPr>
                  <w:rFonts w:ascii="Nunito" w:cs="Nunito" w:eastAsia="Nunito" w:hAnsi="Nunito"/>
                  <w:color w:val="1155cc"/>
                  <w:highlight w:val="white"/>
                  <w:u w:val="single"/>
                  <w:rtl w:val="0"/>
                </w:rPr>
                <w:t xml:space="preserve">Dubai Floods of 2024</w:t>
              </w:r>
            </w:hyperlink>
            <w:r w:rsidDel="00000000" w:rsidR="00000000" w:rsidRPr="00000000">
              <w:rPr>
                <w:rFonts w:ascii="Nunito" w:cs="Nunito" w:eastAsia="Nunito" w:hAnsi="Nunito"/>
                <w:color w:val="202124"/>
                <w:highlight w:val="white"/>
                <w:rtl w:val="0"/>
              </w:rPr>
              <w:t xml:space="preserve"> </w:t>
            </w:r>
            <w:r w:rsidDel="00000000" w:rsidR="00000000" w:rsidRPr="00000000">
              <w:rPr>
                <w:rFonts w:ascii="Nunito" w:cs="Nunito" w:eastAsia="Nunito" w:hAnsi="Nunito"/>
                <w:i w:val="1"/>
                <w:color w:val="202124"/>
                <w:highlight w:val="white"/>
                <w:rtl w:val="0"/>
              </w:rPr>
              <w:t xml:space="preserve">or </w:t>
            </w:r>
            <w:r w:rsidDel="00000000" w:rsidR="00000000" w:rsidRPr="00000000">
              <w:rPr>
                <w:rFonts w:ascii="Nunito" w:cs="Nunito" w:eastAsia="Nunito" w:hAnsi="Nunito"/>
                <w:color w:val="202124"/>
                <w:highlight w:val="white"/>
                <w:rtl w:val="0"/>
              </w:rPr>
              <w:t xml:space="preserve">Option 1B: </w:t>
            </w:r>
            <w:hyperlink r:id="rId8">
              <w:r w:rsidDel="00000000" w:rsidR="00000000" w:rsidRPr="00000000">
                <w:rPr>
                  <w:rFonts w:ascii="Nunito" w:cs="Nunito" w:eastAsia="Nunito" w:hAnsi="Nunito"/>
                  <w:color w:val="1155cc"/>
                  <w:highlight w:val="white"/>
                  <w:u w:val="single"/>
                  <w:rtl w:val="0"/>
                </w:rPr>
                <w:t xml:space="preserve">Ethiopian Famine of 1984</w:t>
              </w:r>
            </w:hyperlink>
            <w:r w:rsidDel="00000000" w:rsidR="00000000" w:rsidRPr="00000000">
              <w:rPr>
                <w:rFonts w:ascii="Nunito" w:cs="Nunito" w:eastAsia="Nunito" w:hAnsi="Nunito"/>
                <w:color w:val="202124"/>
                <w:highlight w:val="white"/>
                <w:rtl w:val="0"/>
              </w:rPr>
              <w:t xml:space="preserve">.</w:t>
            </w:r>
          </w:p>
          <w:p w:rsidR="00000000" w:rsidDel="00000000" w:rsidP="00000000" w:rsidRDefault="00000000" w:rsidRPr="00000000" w14:paraId="00000019">
            <w:pPr>
              <w:shd w:fill="ffffff" w:val="clear"/>
              <w:spacing w:after="220" w:before="220" w:line="240" w:lineRule="auto"/>
              <w:rPr>
                <w:rFonts w:ascii="Nunito" w:cs="Nunito" w:eastAsia="Nunito" w:hAnsi="Nunito"/>
                <w:sz w:val="24"/>
                <w:szCs w:val="24"/>
                <w:highlight w:val="white"/>
              </w:rPr>
            </w:pPr>
            <w:r w:rsidDel="00000000" w:rsidR="00000000" w:rsidRPr="00000000">
              <w:rPr>
                <w:rFonts w:ascii="Nunito" w:cs="Nunito" w:eastAsia="Nunito" w:hAnsi="Nunito"/>
                <w:b w:val="1"/>
                <w:color w:val="202124"/>
                <w:highlight w:val="white"/>
                <w:rtl w:val="0"/>
              </w:rPr>
              <w:t xml:space="preserve">For the second Socratic Seminar on Thu Feb 27 (AB) or Thu Mar 6 (CD), you will choose either:</w:t>
              <w:br w:type="textWrapping"/>
            </w:r>
            <w:r w:rsidDel="00000000" w:rsidR="00000000" w:rsidRPr="00000000">
              <w:rPr>
                <w:rFonts w:ascii="Nunito" w:cs="Nunito" w:eastAsia="Nunito" w:hAnsi="Nunito"/>
                <w:color w:val="202124"/>
                <w:highlight w:val="white"/>
                <w:rtl w:val="0"/>
              </w:rPr>
              <w:t xml:space="preserve">Option 2A: </w:t>
            </w:r>
            <w:hyperlink r:id="rId9">
              <w:r w:rsidDel="00000000" w:rsidR="00000000" w:rsidRPr="00000000">
                <w:rPr>
                  <w:rFonts w:ascii="Nunito" w:cs="Nunito" w:eastAsia="Nunito" w:hAnsi="Nunito"/>
                  <w:color w:val="1155cc"/>
                  <w:highlight w:val="white"/>
                  <w:u w:val="single"/>
                  <w:rtl w:val="0"/>
                </w:rPr>
                <w:t xml:space="preserve">Drying of the Nile since 1956</w:t>
              </w:r>
            </w:hyperlink>
            <w:r w:rsidDel="00000000" w:rsidR="00000000" w:rsidRPr="00000000">
              <w:rPr>
                <w:rFonts w:ascii="Nunito" w:cs="Nunito" w:eastAsia="Nunito" w:hAnsi="Nunito"/>
                <w:color w:val="202124"/>
                <w:highlight w:val="white"/>
                <w:rtl w:val="0"/>
              </w:rPr>
              <w:t xml:space="preserve"> </w:t>
            </w:r>
            <w:r w:rsidDel="00000000" w:rsidR="00000000" w:rsidRPr="00000000">
              <w:rPr>
                <w:rFonts w:ascii="Nunito" w:cs="Nunito" w:eastAsia="Nunito" w:hAnsi="Nunito"/>
                <w:i w:val="1"/>
                <w:color w:val="202124"/>
                <w:highlight w:val="white"/>
                <w:rtl w:val="0"/>
              </w:rPr>
              <w:t xml:space="preserve">or </w:t>
            </w:r>
            <w:r w:rsidDel="00000000" w:rsidR="00000000" w:rsidRPr="00000000">
              <w:rPr>
                <w:rFonts w:ascii="Nunito" w:cs="Nunito" w:eastAsia="Nunito" w:hAnsi="Nunito"/>
                <w:color w:val="202124"/>
                <w:highlight w:val="white"/>
                <w:rtl w:val="0"/>
              </w:rPr>
              <w:t xml:space="preserve">Option 2B: </w:t>
            </w:r>
            <w:hyperlink r:id="rId10">
              <w:r w:rsidDel="00000000" w:rsidR="00000000" w:rsidRPr="00000000">
                <w:rPr>
                  <w:rFonts w:ascii="Nunito" w:cs="Nunito" w:eastAsia="Nunito" w:hAnsi="Nunito"/>
                  <w:color w:val="1155cc"/>
                  <w:highlight w:val="white"/>
                  <w:u w:val="single"/>
                  <w:rtl w:val="0"/>
                </w:rPr>
                <w:t xml:space="preserve">Great Influenza Pandemic of 1918.</w:t>
              </w:r>
            </w:hyperlink>
            <w:r w:rsidDel="00000000" w:rsidR="00000000" w:rsidRPr="00000000">
              <w:rPr>
                <w:rtl w:val="0"/>
              </w:rPr>
            </w:r>
          </w:p>
        </w:tc>
      </w:tr>
    </w:tbl>
    <w:p w:rsidR="00000000" w:rsidDel="00000000" w:rsidP="00000000" w:rsidRDefault="00000000" w:rsidRPr="00000000" w14:paraId="0000001B">
      <w:pPr>
        <w:widowControl w:val="0"/>
        <w:spacing w:line="276" w:lineRule="auto"/>
        <w:rPr>
          <w:rFonts w:ascii="Nunito" w:cs="Nunito" w:eastAsia="Nunito" w:hAnsi="Nunito"/>
        </w:rPr>
      </w:pPr>
      <w:r w:rsidDel="00000000" w:rsidR="00000000" w:rsidRPr="00000000">
        <w:rPr>
          <w:rtl w:val="0"/>
        </w:rPr>
      </w:r>
    </w:p>
    <w:p w:rsidR="00000000" w:rsidDel="00000000" w:rsidP="00000000" w:rsidRDefault="00000000" w:rsidRPr="00000000" w14:paraId="0000001C">
      <w:pPr>
        <w:widowControl w:val="0"/>
        <w:spacing w:line="276" w:lineRule="auto"/>
        <w:rPr>
          <w:rFonts w:ascii="Nunito" w:cs="Nunito" w:eastAsia="Nunito" w:hAnsi="Nunito"/>
        </w:rPr>
      </w:pPr>
      <w:r w:rsidDel="00000000" w:rsidR="00000000" w:rsidRPr="00000000">
        <w:rPr>
          <w:rtl w:val="0"/>
        </w:rPr>
      </w:r>
    </w:p>
    <w:p w:rsidR="00000000" w:rsidDel="00000000" w:rsidP="00000000" w:rsidRDefault="00000000" w:rsidRPr="00000000" w14:paraId="0000001D">
      <w:pPr>
        <w:widowControl w:val="0"/>
        <w:spacing w:line="276" w:lineRule="auto"/>
        <w:rPr>
          <w:rFonts w:ascii="Nunito" w:cs="Nunito" w:eastAsia="Nunito" w:hAnsi="Nunito"/>
        </w:rPr>
      </w:pPr>
      <w:r w:rsidDel="00000000" w:rsidR="00000000" w:rsidRPr="00000000">
        <w:rPr>
          <w:rtl w:val="0"/>
        </w:rPr>
      </w:r>
    </w:p>
    <w:p w:rsidR="00000000" w:rsidDel="00000000" w:rsidP="00000000" w:rsidRDefault="00000000" w:rsidRPr="00000000" w14:paraId="0000001E">
      <w:pPr>
        <w:widowControl w:val="0"/>
        <w:spacing w:line="276" w:lineRule="auto"/>
        <w:rPr>
          <w:rFonts w:ascii="Nunito" w:cs="Nunito" w:eastAsia="Nunito" w:hAnsi="Nunito"/>
        </w:rPr>
      </w:pPr>
      <w:r w:rsidDel="00000000" w:rsidR="00000000" w:rsidRPr="00000000">
        <w:rPr>
          <w:rtl w:val="0"/>
        </w:rPr>
      </w:r>
    </w:p>
    <w:tbl>
      <w:tblPr>
        <w:tblStyle w:val="Table4"/>
        <w:tblW w:w="11025.0" w:type="dxa"/>
        <w:jc w:val="left"/>
        <w:tblInd w:w="-49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385"/>
        <w:gridCol w:w="8640"/>
        <w:tblGridChange w:id="0">
          <w:tblGrid>
            <w:gridCol w:w="2385"/>
            <w:gridCol w:w="8640"/>
          </w:tblGrid>
        </w:tblGridChange>
      </w:tblGrid>
      <w:tr>
        <w:trPr>
          <w:cantSplit w:val="0"/>
          <w:trHeight w:val="440" w:hRule="atLeast"/>
          <w:tblHeader w:val="0"/>
        </w:trPr>
        <w:tc>
          <w:tcPr>
            <w:gridSpan w:val="2"/>
            <w:shd w:fill="39b54a" w:val="clear"/>
            <w:tcMar>
              <w:top w:w="100.0" w:type="dxa"/>
              <w:left w:w="100.0" w:type="dxa"/>
              <w:bottom w:w="100.0" w:type="dxa"/>
              <w:right w:w="100.0" w:type="dxa"/>
            </w:tcMar>
          </w:tcPr>
          <w:p w:rsidR="00000000" w:rsidDel="00000000" w:rsidP="00000000" w:rsidRDefault="00000000" w:rsidRPr="00000000" w14:paraId="0000001F">
            <w:pPr>
              <w:widowControl w:val="0"/>
              <w:spacing w:line="240" w:lineRule="auto"/>
              <w:rPr>
                <w:rFonts w:ascii="Nunito" w:cs="Nunito" w:eastAsia="Nunito" w:hAnsi="Nunito"/>
                <w:b w:val="1"/>
                <w:color w:val="ffffff"/>
                <w:sz w:val="24"/>
                <w:szCs w:val="24"/>
              </w:rPr>
            </w:pPr>
            <w:r w:rsidDel="00000000" w:rsidR="00000000" w:rsidRPr="00000000">
              <w:rPr>
                <w:rFonts w:ascii="Nunito" w:cs="Nunito" w:eastAsia="Nunito" w:hAnsi="Nunito"/>
                <w:b w:val="1"/>
                <w:color w:val="ffffff"/>
                <w:sz w:val="24"/>
                <w:szCs w:val="24"/>
                <w:rtl w:val="0"/>
              </w:rPr>
              <w:t xml:space="preserve">Criteria &amp; Strands:</w:t>
            </w:r>
          </w:p>
        </w:tc>
      </w:tr>
      <w:tr>
        <w:trPr>
          <w:cantSplit w:val="0"/>
          <w:trHeight w:val="440" w:hRule="atLeast"/>
          <w:tblHeader w:val="0"/>
        </w:trPr>
        <w:tc>
          <w:tcPr>
            <w:gridSpan w:val="2"/>
            <w:tcMar>
              <w:top w:w="100.0" w:type="dxa"/>
              <w:left w:w="100.0" w:type="dxa"/>
              <w:bottom w:w="100.0" w:type="dxa"/>
              <w:right w:w="100.0" w:type="dxa"/>
            </w:tcMar>
          </w:tcPr>
          <w:p w:rsidR="00000000" w:rsidDel="00000000" w:rsidP="00000000" w:rsidRDefault="00000000" w:rsidRPr="00000000" w14:paraId="00000021">
            <w:pPr>
              <w:widowControl w:val="0"/>
              <w:spacing w:line="240" w:lineRule="auto"/>
              <w:rPr>
                <w:rFonts w:ascii="Nunito" w:cs="Nunito" w:eastAsia="Nunito" w:hAnsi="Nunito"/>
                <w:b w:val="1"/>
                <w:color w:val="ffffff"/>
                <w:sz w:val="24"/>
                <w:szCs w:val="24"/>
              </w:rPr>
            </w:pPr>
            <w:r w:rsidDel="00000000" w:rsidR="00000000" w:rsidRPr="00000000">
              <w:rPr>
                <w:rFonts w:ascii="Nunito" w:cs="Nunito" w:eastAsia="Nunito" w:hAnsi="Nunito"/>
                <w:b w:val="1"/>
                <w:color w:val="ffffff"/>
                <w:sz w:val="24"/>
                <w:szCs w:val="24"/>
              </w:rPr>
              <w:drawing>
                <wp:inline distB="114300" distT="114300" distL="114300" distR="114300">
                  <wp:extent cx="5462588" cy="3492722"/>
                  <wp:effectExtent b="0" l="0" r="0" t="0"/>
                  <wp:docPr id="1" name="image2.png"/>
                  <a:graphic>
                    <a:graphicData uri="http://schemas.openxmlformats.org/drawingml/2006/picture">
                      <pic:pic>
                        <pic:nvPicPr>
                          <pic:cNvPr id="0" name="image2.png"/>
                          <pic:cNvPicPr preferRelativeResize="0"/>
                        </pic:nvPicPr>
                        <pic:blipFill>
                          <a:blip r:embed="rId11"/>
                          <a:srcRect b="0" l="0" r="0" t="0"/>
                          <a:stretch>
                            <a:fillRect/>
                          </a:stretch>
                        </pic:blipFill>
                        <pic:spPr>
                          <a:xfrm>
                            <a:off x="0" y="0"/>
                            <a:ext cx="5462588" cy="3492722"/>
                          </a:xfrm>
                          <a:prstGeom prst="rect"/>
                          <a:ln/>
                        </pic:spPr>
                      </pic:pic>
                    </a:graphicData>
                  </a:graphic>
                </wp:inline>
              </w:drawing>
            </w:r>
            <w:r w:rsidDel="00000000" w:rsidR="00000000" w:rsidRPr="00000000">
              <w:rPr>
                <w:rFonts w:ascii="Nunito" w:cs="Nunito" w:eastAsia="Nunito" w:hAnsi="Nunito"/>
                <w:b w:val="1"/>
                <w:color w:val="ffffff"/>
                <w:sz w:val="24"/>
                <w:szCs w:val="24"/>
              </w:rPr>
              <w:drawing>
                <wp:inline distB="114300" distT="114300" distL="114300" distR="114300">
                  <wp:extent cx="5453063" cy="3509322"/>
                  <wp:effectExtent b="0" l="0" r="0" t="0"/>
                  <wp:docPr id="2" name="image1.png"/>
                  <a:graphic>
                    <a:graphicData uri="http://schemas.openxmlformats.org/drawingml/2006/picture">
                      <pic:pic>
                        <pic:nvPicPr>
                          <pic:cNvPr id="0" name="image1.png"/>
                          <pic:cNvPicPr preferRelativeResize="0"/>
                        </pic:nvPicPr>
                        <pic:blipFill>
                          <a:blip r:embed="rId12"/>
                          <a:srcRect b="0" l="0" r="0" t="0"/>
                          <a:stretch>
                            <a:fillRect/>
                          </a:stretch>
                        </pic:blipFill>
                        <pic:spPr>
                          <a:xfrm>
                            <a:off x="0" y="0"/>
                            <a:ext cx="5453063" cy="3509322"/>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023">
      <w:pPr>
        <w:jc w:val="left"/>
        <w:rPr/>
      </w:pPr>
      <w:r w:rsidDel="00000000" w:rsidR="00000000" w:rsidRPr="00000000">
        <w:rPr>
          <w:rFonts w:ascii="Nunito" w:cs="Nunito" w:eastAsia="Nunito" w:hAnsi="Nunito"/>
          <w:rtl w:val="0"/>
        </w:rPr>
        <w:br w:type="textWrapping"/>
      </w:r>
      <w:r w:rsidDel="00000000" w:rsidR="00000000" w:rsidRPr="00000000">
        <w:rPr>
          <w:rtl w:val="0"/>
        </w:rPr>
      </w:r>
    </w:p>
    <w:sectPr>
      <w:pgSz w:h="15840" w:w="12240" w:orient="portrait"/>
      <w:pgMar w:bottom="1440" w:top="28.799999999999997"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Nuni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pPr/>
    <w:rPr/>
    <w:tblPr>
      <w:tblStyleRowBandSize w:val="1"/>
      <w:tblStyleColBandSize w:val="1"/>
      <w:tblCellMar>
        <w:top w:w="0.0" w:type="dxa"/>
        <w:left w:w="115.0" w:type="dxa"/>
        <w:bottom w:w="0.0" w:type="dxa"/>
        <w:right w:w="115.0" w:type="dxa"/>
      </w:tblCellMar>
    </w:tblPr>
  </w:style>
  <w:style w:type="table" w:styleId="Table3">
    <w:basedOn w:val="TableNormal"/>
    <w:pPr/>
    <w:rPr/>
    <w:tblPr>
      <w:tblStyleRowBandSize w:val="1"/>
      <w:tblStyleColBandSize w:val="1"/>
      <w:tblCellMar>
        <w:top w:w="0.0" w:type="dxa"/>
        <w:left w:w="115.0" w:type="dxa"/>
        <w:bottom w:w="0.0" w:type="dxa"/>
        <w:right w:w="115.0" w:type="dxa"/>
      </w:tblCellMar>
    </w:tblPr>
  </w:style>
  <w:style w:type="table" w:styleId="Table4">
    <w:basedOn w:val="TableNormal"/>
    <w:pPr/>
    <w:rPr/>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image" Target="media/image2.png"/><Relationship Id="rId10" Type="http://schemas.openxmlformats.org/officeDocument/2006/relationships/hyperlink" Target="https://www.youtube.com/watch?v=3x1aLAw_xkY&amp;ab_channel=CambridgeUniversity" TargetMode="External"/><Relationship Id="rId12" Type="http://schemas.openxmlformats.org/officeDocument/2006/relationships/image" Target="media/image1.png"/><Relationship Id="rId9" Type="http://schemas.openxmlformats.org/officeDocument/2006/relationships/hyperlink" Target="https://www.youtube.com/watch?v=WKCW5Gg6Ffo&amp;ab_channel=TerraMater" TargetMode="External"/><Relationship Id="rId5" Type="http://schemas.openxmlformats.org/officeDocument/2006/relationships/styles" Target="styles.xml"/><Relationship Id="rId6" Type="http://schemas.openxmlformats.org/officeDocument/2006/relationships/image" Target="media/image3.png"/><Relationship Id="rId7" Type="http://schemas.openxmlformats.org/officeDocument/2006/relationships/hyperlink" Target="https://www.youtube.com/watch?v=GMG6iUFEYhE" TargetMode="External"/><Relationship Id="rId8" Type="http://schemas.openxmlformats.org/officeDocument/2006/relationships/hyperlink" Target="https://www.youtube.com/watch?v=hltKrT_5q08&amp;rco=1&amp;ab_channel=AfroMarxist"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unito-regular.ttf"/><Relationship Id="rId2" Type="http://schemas.openxmlformats.org/officeDocument/2006/relationships/font" Target="fonts/Nunito-bold.ttf"/><Relationship Id="rId3" Type="http://schemas.openxmlformats.org/officeDocument/2006/relationships/font" Target="fonts/Nunito-italic.ttf"/><Relationship Id="rId4" Type="http://schemas.openxmlformats.org/officeDocument/2006/relationships/font" Target="fonts/Nuni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